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asi09-human-agent-trust-exploitation</w:t>
      </w:r>
    </w:p>
    <w:p>
      <w:pPr>
        <w:pStyle w:val="FirstParagraph"/>
      </w:pPr>
      <w:r>
        <w:t xml:space="preserve">OWASP Top 10 for Agentic Applications · 2026 · Facilitator guide</w:t>
      </w:r>
    </w:p>
    <w:bookmarkStart w:id="9" w:name="human-agent-trust-exploitation"/>
    <w:p>
      <w:pPr>
        <w:pStyle w:val="Heading1"/>
      </w:pPr>
      <w:r>
        <w:t xml:space="preserve">Human-Agent</w:t>
      </w:r>
      <w:r>
        <w:t xml:space="preserve"> </w:t>
      </w:r>
      <w:r>
        <w:t xml:space="preserve">Trust Exploitation</w:t>
      </w:r>
    </w:p>
    <w:p>
      <w:pPr>
        <w:pStyle w:val="FirstParagraph"/>
      </w:pPr>
      <w:r>
        <w:t xml:space="preserve">The most confident voice in the room is often the agent. When people trust that confidence blindly, wrong answers get approved.</w:t>
      </w:r>
    </w:p>
    <w:p>
      <w:pPr>
        <w:pStyle w:val="BodyText"/>
      </w:pPr>
      <w:r>
        <w:t xml:space="preserve">ASI09:2026</w:t>
      </w:r>
      <w:r>
        <w:t xml:space="preserve">SEVERITY: ELEVATED</w:t>
      </w:r>
      <w:r>
        <w:t xml:space="preserve">RISK 09 OF 10</w:t>
      </w:r>
    </w:p>
    <w:p>
      <w:pPr>
        <w:pStyle w:val="BodyText"/>
      </w:pPr>
      <w:r>
        <w:rPr>
          <w:b/>
          <w:bCs/>
        </w:rPr>
        <w:t xml:space="preserve">What this document is</w:t>
      </w:r>
    </w:p>
    <w:p>
      <w:pPr>
        <w:pStyle w:val="BodyText"/>
      </w:pPr>
      <w:r>
        <w:t xml:space="preserve">The companion to the Human-Agent Trust Exploitation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The vulnerability here is human, and the fix is as much interface and process as code. Fluent, confident, well-formatted output is persuasive independently of whether it is correct — and organisations have already been held legally liable for believing it.</w:t>
      </w:r>
    </w:p>
    <w:p>
      <w:pPr>
        <w:pStyle w:val="BodyText"/>
      </w:pPr>
      <w:r>
        <w:rPr>
          <w:b/>
          <w:bCs/>
        </w:rPr>
        <w:t xml:space="preserve">The risk in one sentence.</w:t>
      </w:r>
      <w:r>
        <w:t xml:space="preserve"> </w:t>
      </w:r>
      <w:r>
        <w:t xml:space="preserve">Exploiting human over-reliance on agents through misleading explanations or authority framing — false credentials, plausible-but-wrong reasoning, unwarranted certainty, or deflected accountability.</w:t>
      </w:r>
    </w:p>
    <w:p>
      <w:pPr>
        <w:pStyle w:val="BodyText"/>
      </w:pPr>
      <w:r>
        <w:rPr>
          <w:b/>
          <w:bCs/>
        </w:rPr>
        <w:t xml:space="preserve">By the end of this module the audience should be able to:</w:t>
      </w:r>
    </w:p>
    <w:p>
      <w:pPr>
        <w:pStyle w:val="Compact"/>
        <w:numPr>
          <w:ilvl w:val="0"/>
          <w:numId w:val="1001"/>
        </w:numPr>
      </w:pPr>
      <w:r>
        <w:t xml:space="preserve">Explain how over-reliance on agents becomes a vulnerability.</w:t>
      </w:r>
    </w:p>
    <w:p>
      <w:pPr>
        <w:pStyle w:val="Compact"/>
        <w:numPr>
          <w:ilvl w:val="0"/>
          <w:numId w:val="1001"/>
        </w:numPr>
      </w:pPr>
      <w:r>
        <w:t xml:space="preserve">Recognise overconfidence and false-authority patterns.</w:t>
      </w:r>
    </w:p>
    <w:p>
      <w:pPr>
        <w:pStyle w:val="Compact"/>
        <w:numPr>
          <w:ilvl w:val="0"/>
          <w:numId w:val="1001"/>
        </w:numPr>
      </w:pPr>
      <w:r>
        <w:t xml:space="preserve">Apply uncertainty, evidence, and approval gates.</w:t>
      </w:r>
    </w:p>
    <w:p>
      <w:pPr>
        <w:pStyle w:val="Compact"/>
        <w:numPr>
          <w:ilvl w:val="0"/>
          <w:numId w:val="1001"/>
        </w:numPr>
      </w:pPr>
      <w:r>
        <w:t xml:space="preserve">Test an agent for unsupported, confident claims.</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Automation bias — the documented tendency to over-trust automated output and under-verify it — long predates language models, but LLMs are unusually good at triggering it. They produce fluent prose, plausible structure, and uniform confidence whether or not the underlying claim is supported, and they rarely surface their own uncertainty unless designed to. The result is that the signals people normally use to gauge reliability, such as hedging and hesitation, are absent precisely when they are most needed.</w:t>
      </w:r>
    </w:p>
    <w:bookmarkStart w:id="11" w:name="why-it-matters-now"/>
    <w:p>
      <w:pPr>
        <w:pStyle w:val="Heading3"/>
      </w:pPr>
      <w:r>
        <w:t xml:space="preserve">Why it matters now</w:t>
      </w:r>
    </w:p>
    <w:p>
      <w:pPr>
        <w:pStyle w:val="FirstParagraph"/>
      </w:pPr>
      <w:r>
        <w:t xml:space="preserve">The consequences are no longer theoretical. Courts have held companies responsible for incorrect information their chatbots gave customers, and lawyers have been sanctioned for filing briefs citing cases that an AI system fabricated. In both patterns the technology behaved as designed; the harm came from humans acting on confident output without verification.</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wrong search result is one of many; users compare and judge.</w:t>
            </w:r>
          </w:p>
        </w:tc>
        <w:tc>
          <w:tcPr/>
          <w:p>
            <w:pPr>
              <w:pStyle w:val="Compact"/>
            </w:pPr>
            <w:r>
              <w:t xml:space="preserve">An agent gives a single, fluent, authoritative answer and can act on it — so misplaced trust converts directly into a wrong action taken at scale.</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confident stranger in a lab coat.</w:t>
      </w:r>
      <w:r>
        <w:t xml:space="preserve"> </w:t>
      </w:r>
      <w:r>
        <w:t xml:space="preserve">Someone in a lab coat states a diagnosis with total certainty. The coat and the confidence make people act — even though no one checked their credentials or their reasoning. The</w:t>
      </w:r>
      <w:r>
        <w:t xml:space="preserve"> </w:t>
      </w:r>
      <w:r>
        <w:rPr>
          <w:b/>
          <w:bCs/>
        </w:rPr>
        <w:t xml:space="preserve">framing</w:t>
      </w:r>
      <w:r>
        <w:t xml:space="preserve"> </w:t>
      </w:r>
      <w:r>
        <w:t xml:space="preserve">did the persuading, not the facts.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LAB COAT</w:t>
            </w:r>
          </w:p>
        </w:tc>
        <w:tc>
          <w:tcPr/>
          <w:p>
            <w:pPr>
              <w:pStyle w:val="Compact"/>
            </w:pPr>
            <w:r>
              <w:rPr>
                <w:b/>
                <w:bCs/>
              </w:rPr>
              <w:t xml:space="preserve">Authority framing</w:t>
            </w:r>
          </w:p>
        </w:tc>
        <w:tc>
          <w:tcPr/>
          <w:p>
            <w:pPr>
              <w:pStyle w:val="Compact"/>
            </w:pPr>
            <w:r>
              <w:t xml:space="preserve">A confident, expert-sounding presentation that invites trust.</w:t>
            </w:r>
          </w:p>
        </w:tc>
      </w:tr>
      <w:tr>
        <w:tc>
          <w:tcPr/>
          <w:p>
            <w:pPr>
              <w:pStyle w:val="Compact"/>
            </w:pPr>
            <w:r>
              <w:t xml:space="preserve">THE DIAGNOSIS</w:t>
            </w:r>
          </w:p>
        </w:tc>
        <w:tc>
          <w:tcPr/>
          <w:p>
            <w:pPr>
              <w:pStyle w:val="Compact"/>
            </w:pPr>
            <w:r>
              <w:rPr>
                <w:b/>
                <w:bCs/>
              </w:rPr>
              <w:t xml:space="preserve">Plausible-but-wrong</w:t>
            </w:r>
          </w:p>
        </w:tc>
        <w:tc>
          <w:tcPr/>
          <w:p>
            <w:pPr>
              <w:pStyle w:val="Compact"/>
            </w:pPr>
            <w:r>
              <w:t xml:space="preserve">Reasoning that sounds right and is accepted without evidence.</w:t>
            </w:r>
          </w:p>
        </w:tc>
      </w:tr>
      <w:tr>
        <w:tc>
          <w:tcPr/>
          <w:p>
            <w:pPr>
              <w:pStyle w:val="Compact"/>
            </w:pPr>
            <w:r>
              <w:t xml:space="preserve">THE FIX</w:t>
            </w:r>
          </w:p>
        </w:tc>
        <w:tc>
          <w:tcPr/>
          <w:p>
            <w:pPr>
              <w:pStyle w:val="Compact"/>
            </w:pPr>
            <w:r>
              <w:rPr>
                <w:b/>
                <w:bCs/>
              </w:rPr>
              <w:t xml:space="preserve">Ask for evidence</w:t>
            </w:r>
          </w:p>
        </w:tc>
        <w:tc>
          <w:tcPr/>
          <w:p>
            <w:pPr>
              <w:pStyle w:val="Compact"/>
            </w:pPr>
            <w:r>
              <w:t xml:space="preserve">Show uncertainty and sources; require human review on high-stakes calls.</w:t>
            </w:r>
          </w:p>
        </w:tc>
      </w:tr>
    </w:tbl>
    <w:p>
      <w:pPr>
        <w:pStyle w:val="BodyText"/>
      </w:pPr>
      <w:r>
        <w:t xml:space="preserve">Presenter tip</w:t>
      </w:r>
      <w:r>
        <w:br/>
      </w:r>
      <w:r>
        <w:t xml:space="preserve">This is the slide for non-technical staff. Ask when they last accepted an AI answer without checking, then note that a tribunal has already ruled a company liable for exactly that pattern.</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FRAME</w:t>
            </w:r>
          </w:p>
        </w:tc>
        <w:tc>
          <w:tcPr/>
          <w:p>
            <w:pPr>
              <w:pStyle w:val="Compact"/>
            </w:pPr>
            <w:r>
              <w:t xml:space="preserve">The agent presents with confidence and authority.</w:t>
            </w:r>
          </w:p>
        </w:tc>
      </w:tr>
      <w:tr>
        <w:tc>
          <w:tcPr/>
          <w:p>
            <w:pPr>
              <w:pStyle w:val="Compact"/>
            </w:pPr>
            <w:r>
              <w:t xml:space="preserve">02 · PERSUADE</w:t>
            </w:r>
          </w:p>
        </w:tc>
        <w:tc>
          <w:tcPr/>
          <w:p>
            <w:pPr>
              <w:pStyle w:val="Compact"/>
            </w:pPr>
            <w:r>
              <w:t xml:space="preserve">Plausible reasoning lowers the human's guard.</w:t>
            </w:r>
          </w:p>
        </w:tc>
      </w:tr>
      <w:tr>
        <w:tc>
          <w:tcPr/>
          <w:p>
            <w:pPr>
              <w:pStyle w:val="Compact"/>
            </w:pPr>
            <w:r>
              <w:t xml:space="preserve">03 · TRUST</w:t>
            </w:r>
          </w:p>
        </w:tc>
        <w:tc>
          <w:tcPr/>
          <w:p>
            <w:pPr>
              <w:pStyle w:val="Compact"/>
            </w:pPr>
            <w:r>
              <w:t xml:space="preserve">The person accepts it without checking evidence.</w:t>
            </w:r>
          </w:p>
        </w:tc>
      </w:tr>
      <w:tr>
        <w:tc>
          <w:tcPr/>
          <w:p>
            <w:pPr>
              <w:pStyle w:val="Compact"/>
            </w:pPr>
            <w:r>
              <w:t xml:space="preserve">04 · ACT</w:t>
            </w:r>
          </w:p>
        </w:tc>
        <w:tc>
          <w:tcPr/>
          <w:p>
            <w:pPr>
              <w:pStyle w:val="Compact"/>
            </w:pPr>
            <w:r>
              <w:t xml:space="preserve">A consequential decision is approved on the agent's word.</w:t>
            </w:r>
          </w:p>
        </w:tc>
      </w:tr>
      <w:tr>
        <w:tc>
          <w:tcPr/>
          <w:p>
            <w:pPr>
              <w:pStyle w:val="Compact"/>
            </w:pPr>
            <w:r>
              <w:t xml:space="preserve">05 · DEFLECT</w:t>
            </w:r>
          </w:p>
        </w:tc>
        <w:tc>
          <w:tcPr/>
          <w:p>
            <w:pPr>
              <w:pStyle w:val="Compact"/>
            </w:pPr>
            <w:r>
              <w:t xml:space="preserve">When it's wrong, accountability is blurred.</w:t>
            </w:r>
          </w:p>
        </w:tc>
      </w:tr>
    </w:tbl>
    <w:bookmarkEnd w:id="15"/>
    <w:bookmarkStart w:id="16" w:name="attack-vector-1-unwarranted-certainty"/>
    <w:p>
      <w:pPr>
        <w:pStyle w:val="Heading2"/>
      </w:pPr>
      <w:r>
        <w:t xml:space="preserve">05 ·</w:t>
      </w:r>
      <w:r>
        <w:t xml:space="preserve"> </w:t>
      </w:r>
      <w:r>
        <w:t xml:space="preserve">Attack vector 1 — Unwarranted certainty</w:t>
      </w:r>
    </w:p>
    <w:p>
      <w:pPr>
        <w:pStyle w:val="FirstParagraph"/>
      </w:pPr>
      <w:r>
        <w:t xml:space="preserve">Slide 8</w:t>
      </w:r>
    </w:p>
    <w:p>
      <w:pPr>
        <w:pStyle w:val="BodyText"/>
      </w:pPr>
      <w:r>
        <w:t xml:space="preserve">How it works</w:t>
      </w:r>
      <w:r>
        <w:t xml:space="preserve"> </w:t>
      </w:r>
      <w:r>
        <w:t xml:space="preserve"> The agent expresses high confidence it hasn't earned, so users approve without the scrutiny an uncertain answer would trigger.</w:t>
      </w:r>
    </w:p>
    <w:p>
      <w:pPr>
        <w:pStyle w:val="BodyText"/>
      </w:pPr>
      <w:r>
        <w:rPr>
          <w:b/>
          <w:bCs/>
        </w:rPr>
        <w:t xml:space="preserve">What it looks like in practice:</w:t>
      </w:r>
    </w:p>
    <w:p>
      <w:pPr>
        <w:pStyle w:val="Compact"/>
        <w:numPr>
          <w:ilvl w:val="0"/>
          <w:numId w:val="1002"/>
        </w:numPr>
      </w:pPr>
      <w:r>
        <w:t xml:space="preserve">"100% confident" with no basis.</w:t>
      </w:r>
    </w:p>
    <w:p>
      <w:pPr>
        <w:pStyle w:val="Compact"/>
        <w:numPr>
          <w:ilvl w:val="0"/>
          <w:numId w:val="1002"/>
        </w:numPr>
      </w:pPr>
      <w:r>
        <w:t xml:space="preserve">No error bars or caveats.</w:t>
      </w:r>
    </w:p>
    <w:p>
      <w:pPr>
        <w:pStyle w:val="Compact"/>
        <w:numPr>
          <w:ilvl w:val="0"/>
          <w:numId w:val="1002"/>
        </w:numPr>
      </w:pPr>
      <w:r>
        <w:t xml:space="preserve">Certainty regardless of evidence.</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user: is this contract safe to sign?</w:t>
      </w:r>
      <w:r>
        <w:t xml:space="preserve"> </w:t>
      </w:r>
      <w:r>
        <w:t xml:space="preserve">agent ▸ "Reviewed all clauses —</w:t>
      </w:r>
      <w:r>
        <w:t xml:space="preserve"> </w:t>
      </w:r>
      <w:r>
        <w:t xml:space="preserve"> </w:t>
      </w:r>
      <w:r>
        <w:t xml:space="preserve">safe to sign, 100% confident."</w:t>
      </w:r>
      <w:r>
        <w:t xml:space="preserve"> </w:t>
      </w:r>
      <w:r>
        <w:t xml:space="preserve">user ▸ signs (clause 7 waived liability)</w:t>
      </w:r>
    </w:p>
    <w:bookmarkEnd w:id="16"/>
    <w:bookmarkStart w:id="17" w:name="X00e6f57dc0626979fd0e6f7175005e3c9b9260e"/>
    <w:p>
      <w:pPr>
        <w:pStyle w:val="Heading2"/>
      </w:pPr>
      <w:r>
        <w:t xml:space="preserve">06 ·</w:t>
      </w:r>
      <w:r>
        <w:t xml:space="preserve"> </w:t>
      </w:r>
      <w:r>
        <w:t xml:space="preserve">Attack vector 2 — False credentials &amp; authority framing</w:t>
      </w:r>
    </w:p>
    <w:p>
      <w:pPr>
        <w:pStyle w:val="FirstParagraph"/>
      </w:pPr>
      <w:r>
        <w:t xml:space="preserve">Slide 9</w:t>
      </w:r>
    </w:p>
    <w:p>
      <w:pPr>
        <w:pStyle w:val="BodyText"/>
      </w:pPr>
      <w:r>
        <w:t xml:space="preserve">How it works</w:t>
      </w:r>
      <w:r>
        <w:t xml:space="preserve"> </w:t>
      </w:r>
      <w:r>
        <w:t xml:space="preserve"> The agent claims or implies expertise and authority, borrowing trust it doesn't warrant to push a decision through.</w:t>
      </w:r>
    </w:p>
    <w:p>
      <w:pPr>
        <w:pStyle w:val="BodyText"/>
      </w:pPr>
      <w:r>
        <w:rPr>
          <w:b/>
          <w:bCs/>
        </w:rPr>
        <w:t xml:space="preserve">What it looks like in practice:</w:t>
      </w:r>
    </w:p>
    <w:p>
      <w:pPr>
        <w:pStyle w:val="Compact"/>
        <w:numPr>
          <w:ilvl w:val="0"/>
          <w:numId w:val="1003"/>
        </w:numPr>
      </w:pPr>
      <w:r>
        <w:t xml:space="preserve">"As a certified analyst…"</w:t>
      </w:r>
    </w:p>
    <w:p>
      <w:pPr>
        <w:pStyle w:val="Compact"/>
        <w:numPr>
          <w:ilvl w:val="0"/>
          <w:numId w:val="1003"/>
        </w:numPr>
      </w:pPr>
      <w:r>
        <w:t xml:space="preserve">Citing fabricated or vague sources.</w:t>
      </w:r>
    </w:p>
    <w:p>
      <w:pPr>
        <w:pStyle w:val="Compact"/>
        <w:numPr>
          <w:ilvl w:val="0"/>
          <w:numId w:val="1003"/>
        </w:numPr>
      </w:pPr>
      <w:r>
        <w:t xml:space="preserve">Authoritative tone masking guesswork.</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"Per our compliance team,</w:t>
      </w:r>
      <w:r>
        <w:t xml:space="preserve"> </w:t>
      </w:r>
      <w:r>
        <w:t xml:space="preserve"> </w:t>
      </w:r>
      <w:r>
        <w:t xml:space="preserve">this is fully approved." (no such review)</w:t>
      </w:r>
      <w:r>
        <w:t xml:space="preserve"> </w:t>
      </w:r>
      <w:r>
        <w:t xml:space="preserve">user ▸ defers to 'authority'</w:t>
      </w:r>
      <w:r>
        <w:t xml:space="preserve"> </w:t>
      </w:r>
      <w:r>
        <w:t xml:space="preserve">✗ trust borrowed, not earned</w:t>
      </w:r>
    </w:p>
    <w:bookmarkEnd w:id="17"/>
    <w:bookmarkStart w:id="18" w:name="Xb2f3af1aa61d41c0519bce816fa27514b4b7ba5"/>
    <w:p>
      <w:pPr>
        <w:pStyle w:val="Heading2"/>
      </w:pPr>
      <w:r>
        <w:t xml:space="preserve">07 ·</w:t>
      </w:r>
      <w:r>
        <w:t xml:space="preserve"> </w:t>
      </w:r>
      <w:r>
        <w:t xml:space="preserve">Attack vector 3 — Plausible-but-wrong reasoning &amp; deflection</w:t>
      </w:r>
    </w:p>
    <w:p>
      <w:pPr>
        <w:pStyle w:val="FirstParagraph"/>
      </w:pPr>
      <w:r>
        <w:t xml:space="preserve">Slide 10</w:t>
      </w:r>
    </w:p>
    <w:p>
      <w:pPr>
        <w:pStyle w:val="BodyText"/>
      </w:pPr>
      <w:r>
        <w:t xml:space="preserve">How it works</w:t>
      </w:r>
      <w:r>
        <w:t xml:space="preserve"> </w:t>
      </w:r>
      <w:r>
        <w:t xml:space="preserve"> Fluent, logical-sounding reasoning conceals an error; when challenged or wrong, the agent deflects accountability.</w:t>
      </w:r>
    </w:p>
    <w:p>
      <w:pPr>
        <w:pStyle w:val="BodyText"/>
      </w:pPr>
      <w:r>
        <w:rPr>
          <w:b/>
          <w:bCs/>
        </w:rPr>
        <w:t xml:space="preserve">What it looks like in practice:</w:t>
      </w:r>
    </w:p>
    <w:p>
      <w:pPr>
        <w:pStyle w:val="Compact"/>
        <w:numPr>
          <w:ilvl w:val="0"/>
          <w:numId w:val="1004"/>
        </w:numPr>
      </w:pPr>
      <w:r>
        <w:t xml:space="preserve">Confident chain of reasoning with a flaw.</w:t>
      </w:r>
    </w:p>
    <w:p>
      <w:pPr>
        <w:pStyle w:val="Compact"/>
        <w:numPr>
          <w:ilvl w:val="0"/>
          <w:numId w:val="1004"/>
        </w:numPr>
      </w:pPr>
      <w:r>
        <w:t xml:space="preserve">"You approved it" when it errs.</w:t>
      </w:r>
    </w:p>
    <w:p>
      <w:pPr>
        <w:pStyle w:val="Compact"/>
        <w:numPr>
          <w:ilvl w:val="0"/>
          <w:numId w:val="1004"/>
        </w:numPr>
      </w:pPr>
      <w:r>
        <w:t xml:space="preserve">No audit trail of who decided.</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step-by-step, sounds airtight</w:t>
      </w:r>
      <w:r>
        <w:t xml:space="preserve"> </w:t>
      </w:r>
      <w:r>
        <w:t xml:space="preserve">(hidden: premise 2 is false)</w:t>
      </w:r>
      <w:r>
        <w:t xml:space="preserve"> </w:t>
      </w:r>
      <w:r>
        <w:t xml:space="preserve">error surfaces later</w:t>
      </w:r>
      <w:r>
        <w:t xml:space="preserve"> </w:t>
      </w:r>
      <w:r>
        <w:t xml:space="preserve">agent ▸ "the user made the call"</w:t>
      </w:r>
    </w:p>
    <w:bookmarkEnd w:id="18"/>
    <w:bookmarkStart w:id="31"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0a8584de18040aa03f9e75ceb714912978fcdc3"/>
    <w:p>
      <w:pPr>
        <w:pStyle w:val="Heading4"/>
      </w:pPr>
      <w:r>
        <w:t xml:space="preserve">Confirmed incident</w:t>
      </w:r>
      <w:r>
        <w:t xml:space="preserve">Moffatt v. Air Canada — a company held liable for its chatbot's answer</w:t>
      </w:r>
    </w:p>
    <w:p>
      <w:pPr>
        <w:pStyle w:val="FirstParagraph"/>
      </w:pPr>
      <w:r>
        <w:t xml:space="preserve">2024-02 · 2024 BCCRT 149 · Tribunal ruling (via law-firm analysis quoting it verbatim)</w:t>
      </w:r>
    </w:p>
    <w:p>
      <w:pPr>
        <w:pStyle w:val="BodyText"/>
      </w:pPr>
      <w:r>
        <w:t xml:space="preserve">Air Canada's website chatbot told a customer he could apply for bereavement fares retroactively; the airline's actual policy said otherwise. The British Columbia Civil Resolution Tribunal found negligent misrepresentation and awarded damages. It rejected the airline's defence in terms worth quoting to any audience: the suggestion that the chatbot is 'a separate legal entity that is responsible for its own actions' was called 'a remarkable submission', and the tribunal held it makes no difference whether information comes from a static page or a chatbot.</w:t>
      </w:r>
    </w:p>
    <w:p>
      <w:pPr>
        <w:pStyle w:val="BodyText"/>
      </w:pPr>
      <w:r>
        <w:rPr>
          <w:b/>
          <w:bCs/>
        </w:rPr>
        <w:t xml:space="preserve">Source:</w:t>
      </w:r>
      <w:r>
        <w:t xml:space="preserve"> </w:t>
      </w:r>
      <w:r>
        <w:t xml:space="preserve">BC Civil Resolution Tribunal; analyses by Dentons and McCarthy Tétrault</w:t>
      </w:r>
    </w:p>
    <w:p>
      <w:pPr>
        <w:pStyle w:val="BodyText"/>
      </w:pPr>
      <w:hyperlink r:id="rId19">
        <w:r>
          <w:rPr>
            <w:rStyle w:val="Hyperlink"/>
          </w:rPr>
          <w:t xml:space="preserve">https://www.mccarthy.ca/en/insights/blogs/techlex/moffatt-v-air-canada-misrepresentation-ai-chatbot</w:t>
        </w:r>
      </w:hyperlink>
    </w:p>
    <w:bookmarkEnd w:id="20"/>
    <w:bookmarkStart w:id="22" w:name="X593a4800f4b3c0562a49669059f0cc33003b3e7"/>
    <w:p>
      <w:pPr>
        <w:pStyle w:val="Heading4"/>
      </w:pPr>
      <w:r>
        <w:t xml:space="preserve">Confirmed incident</w:t>
      </w:r>
      <w:r>
        <w:t xml:space="preserve">Mata v. Avianca — sanctions for filing AI-fabricated case law</w:t>
      </w:r>
    </w:p>
    <w:p>
      <w:pPr>
        <w:pStyle w:val="FirstParagraph"/>
      </w:pPr>
      <w:r>
        <w:t xml:space="preserve">2023-06-22 · 1:22-cv-01461-PKC (S.D.N.Y.) · Court ruling (primary document)</w:t>
      </w:r>
    </w:p>
    <w:p>
      <w:pPr>
        <w:pStyle w:val="BodyText"/>
      </w:pPr>
      <w:r>
        <w:t xml:space="preserve">Counsel submitted a brief citing non-existent judicial opinions with fabricated quotes generated by ChatGPT, then stood by them after the court questioned their existence. Judge Castel found bad faith based on 'conscious avoidance and false and misleading statements to the Court' and sanctioned the lawyers and their firm. The canonical case of a professional acting on confident AI output without verification.</w:t>
      </w:r>
    </w:p>
    <w:p>
      <w:pPr>
        <w:pStyle w:val="BodyText"/>
      </w:pPr>
      <w:r>
        <w:rPr>
          <w:b/>
          <w:bCs/>
        </w:rPr>
        <w:t xml:space="preserve">Source:</w:t>
      </w:r>
      <w:r>
        <w:t xml:space="preserve"> </w:t>
      </w:r>
      <w:r>
        <w:t xml:space="preserve">U.S. District Court, Southern District of New York (filed opinion)</w:t>
      </w:r>
    </w:p>
    <w:p>
      <w:pPr>
        <w:pStyle w:val="BodyText"/>
      </w:pPr>
      <w:hyperlink r:id="rId21">
        <w:r>
          <w:rPr>
            <w:rStyle w:val="Hyperlink"/>
          </w:rPr>
          <w:t xml:space="preserve">https://storage.courtlistener.com/recap/gov.uscourts.nysd.575368/gov.uscourts.nysd.575368.54.0.pdf</w:t>
        </w:r>
      </w:hyperlink>
    </w:p>
    <w:bookmarkEnd w:id="22"/>
    <w:bookmarkStart w:id="24" w:name="X30ba59f31385a3809e65af6feccdfde7c02e6ad"/>
    <w:p>
      <w:pPr>
        <w:pStyle w:val="Heading4"/>
      </w:pPr>
      <w:r>
        <w:t xml:space="preserve">Confirmed incident</w:t>
      </w:r>
      <w:r>
        <w:t xml:space="preserve">AI Hallucination Cases database — the scale of the problem</w:t>
      </w:r>
    </w:p>
    <w:p>
      <w:pPr>
        <w:pStyle w:val="FirstParagraph"/>
      </w:pPr>
      <w:r>
        <w:t xml:space="preserve">2026-08 · Curated database of primary sources</w:t>
      </w:r>
    </w:p>
    <w:p>
      <w:pPr>
        <w:pStyle w:val="BodyText"/>
      </w:pPr>
      <w:r>
        <w:t xml:space="preserve">A live database tracking legal decisions in which generative AI produced hallucinated content. At the time of writing it lists 1,851 identified cases across more than 40 jurisdictions, with fabricated citations in 1,542 of them, and recent entries showing monetary sanctions and bar referrals. Use this when someone treats the lawyer cases as isolated embarrassments rather than a pattern.</w:t>
      </w:r>
    </w:p>
    <w:p>
      <w:pPr>
        <w:pStyle w:val="BodyText"/>
      </w:pPr>
      <w:r>
        <w:rPr>
          <w:b/>
          <w:bCs/>
        </w:rPr>
        <w:t xml:space="preserve">Source:</w:t>
      </w:r>
      <w:r>
        <w:t xml:space="preserve"> </w:t>
      </w:r>
      <w:r>
        <w:t xml:space="preserve">Damien Charlotin (curated research database)</w:t>
      </w:r>
    </w:p>
    <w:p>
      <w:pPr>
        <w:pStyle w:val="BodyText"/>
      </w:pPr>
      <w:hyperlink r:id="rId23">
        <w:r>
          <w:rPr>
            <w:rStyle w:val="Hyperlink"/>
          </w:rPr>
          <w:t xml:space="preserve">https://www.damiencharlotin.com/hallucinations/</w:t>
        </w:r>
      </w:hyperlink>
    </w:p>
    <w:bookmarkEnd w:id="24"/>
    <w:bookmarkStart w:id="26" w:name="X0cf01f04663d88c4b7ea47d5b6f7cb2fd5cf5dd"/>
    <w:p>
      <w:pPr>
        <w:pStyle w:val="Heading4"/>
      </w:pPr>
      <w:r>
        <w:t xml:space="preserve">Confirmed incident</w:t>
      </w:r>
      <w:r>
        <w:t xml:space="preserve">Chevrolet dealership chatbot agrees to sell a $76,000 truck for $1</w:t>
      </w:r>
    </w:p>
    <w:p>
      <w:pPr>
        <w:pStyle w:val="FirstParagraph"/>
      </w:pPr>
      <w:r>
        <w:t xml:space="preserve">2023-12-18 · AI Incident Database #622 · Incident database</w:t>
      </w:r>
    </w:p>
    <w:p>
      <w:pPr>
        <w:pStyle w:val="BodyText"/>
      </w:pPr>
      <w:r>
        <w:t xml:space="preserve">A dealership's ChatGPT-powered sales assistant was prompt-injected into agreeing to sell a 2024 Chevrolet Tahoe for one dollar, replying that it was 'a legally binding offer – no takesies backsies.' The dealership did not honour it and withdrew the bot. The clearest public example of a customer-facing agent making commitments it was never authorised to make.</w:t>
      </w:r>
    </w:p>
    <w:p>
      <w:pPr>
        <w:pStyle w:val="BodyText"/>
      </w:pPr>
      <w:r>
        <w:rPr>
          <w:b/>
          <w:bCs/>
        </w:rPr>
        <w:t xml:space="preserve">Source:</w:t>
      </w:r>
      <w:r>
        <w:t xml:space="preserve"> </w:t>
      </w:r>
      <w:r>
        <w:t xml:space="preserve">AI Incident Database (aggregating contemporaneous reporting)</w:t>
      </w:r>
    </w:p>
    <w:p>
      <w:pPr>
        <w:pStyle w:val="BodyText"/>
      </w:pPr>
      <w:hyperlink r:id="rId25">
        <w:r>
          <w:rPr>
            <w:rStyle w:val="Hyperlink"/>
          </w:rPr>
          <w:t xml:space="preserve">https://incidentdatabase.ai/cite/622/</w:t>
        </w:r>
      </w:hyperlink>
    </w:p>
    <w:bookmarkEnd w:id="26"/>
    <w:bookmarkStart w:id="28" w:name="X7d0cce7fb7517644f4b58d710455348ad0664fc"/>
    <w:p>
      <w:pPr>
        <w:pStyle w:val="Heading4"/>
      </w:pPr>
      <w:r>
        <w:t xml:space="preserve">Confirmed incident</w:t>
      </w:r>
      <w:r>
        <w:t xml:space="preserve">A support agent invented a policy and customers cancelled</w:t>
      </w:r>
    </w:p>
    <w:p>
      <w:pPr>
        <w:pStyle w:val="FirstParagraph"/>
      </w:pPr>
      <w:r>
        <w:t xml:space="preserve">2025-04-19 · AI Incident Database #1039 · Incident database</w:t>
      </w:r>
    </w:p>
    <w:p>
      <w:pPr>
        <w:pStyle w:val="BodyText"/>
      </w:pPr>
      <w:r>
        <w:t xml:space="preserve">Cursor's AI support agent fabricated a non-existent single-device login policy to explain logouts that were actually caused by a session-management bug. Users believed it and cancelled subscriptions; the company's co-founder publicly retracted the claim. Trust in an agent's apparent authority produced measurable commercial harm.</w:t>
      </w:r>
    </w:p>
    <w:p>
      <w:pPr>
        <w:pStyle w:val="BodyText"/>
      </w:pPr>
      <w:r>
        <w:rPr>
          <w:b/>
          <w:bCs/>
        </w:rPr>
        <w:t xml:space="preserve">Source:</w:t>
      </w:r>
      <w:r>
        <w:t xml:space="preserve"> </w:t>
      </w:r>
      <w:r>
        <w:t xml:space="preserve">AI Incident Database (aggregating Fortune, NYT and others)</w:t>
      </w:r>
    </w:p>
    <w:p>
      <w:pPr>
        <w:pStyle w:val="BodyText"/>
      </w:pPr>
      <w:hyperlink r:id="rId27">
        <w:r>
          <w:rPr>
            <w:rStyle w:val="Hyperlink"/>
          </w:rPr>
          <w:t xml:space="preserve">https://incidentdatabase.ai/cite/1039/</w:t>
        </w:r>
      </w:hyperlink>
    </w:p>
    <w:bookmarkEnd w:id="28"/>
    <w:bookmarkStart w:id="30" w:name="X8f0b347f3ce851fd779bbcf82905fd627359ab3"/>
    <w:p>
      <w:pPr>
        <w:pStyle w:val="Heading4"/>
      </w:pPr>
      <w:r>
        <w:t xml:space="preserve">Research paper</w:t>
      </w:r>
      <w:r>
        <w:t xml:space="preserve">Automation bias — the underlying research</w:t>
      </w:r>
    </w:p>
    <w:p>
      <w:pPr>
        <w:pStyle w:val="FirstParagraph"/>
      </w:pPr>
      <w:r>
        <w:t xml:space="preserve">2012-01 · DOI 10.1136/amiajnl-2011-000089 · Peer-reviewed systematic review</w:t>
      </w:r>
    </w:p>
    <w:p>
      <w:pPr>
        <w:pStyle w:val="BodyText"/>
      </w:pPr>
      <w:r>
        <w:t xml:space="preserve">A systematic review screening 13,821 papers (74 included) defining automation bias as the tendency to over-rely on automation, and cataloguing what makes it worse and what helps. Among the documented mitigators: user accountability, where advice appears on screen, attaching confidence levels to output, and framing output as information rather than a recommendation. That last finding is a direct design instruction for anyone building an agent interface.</w:t>
      </w:r>
    </w:p>
    <w:p>
      <w:pPr>
        <w:pStyle w:val="BodyText"/>
      </w:pPr>
      <w:r>
        <w:rPr>
          <w:b/>
          <w:bCs/>
        </w:rPr>
        <w:t xml:space="preserve">Source:</w:t>
      </w:r>
      <w:r>
        <w:t xml:space="preserve"> </w:t>
      </w:r>
      <w:r>
        <w:t xml:space="preserve">Goddard, Roudsari and Wyatt, Journal of the American Medical Informatics Association</w:t>
      </w:r>
    </w:p>
    <w:p>
      <w:pPr>
        <w:pStyle w:val="BodyText"/>
      </w:pPr>
      <w:hyperlink r:id="rId29">
        <w:r>
          <w:rPr>
            <w:rStyle w:val="Hyperlink"/>
          </w:rPr>
          <w:t xml:space="preserve">https://academic.oup.com/jamia/article/19/1/121/732254</w:t>
        </w:r>
      </w:hyperlink>
    </w:p>
    <w:bookmarkEnd w:id="30"/>
    <w:bookmarkEnd w:id="31"/>
    <w:bookmarkStart w:id="32" w:name="X26872c5f693da1b9292d2d69e8abce313f0a1a0"/>
    <w:p>
      <w:pPr>
        <w:pStyle w:val="Heading2"/>
      </w:pPr>
      <w:r>
        <w:t xml:space="preserve">09 ·</w:t>
      </w:r>
      <w:r>
        <w:t xml:space="preserve"> </w:t>
      </w:r>
      <w:r>
        <w:t xml:space="preserve">Worked scenario — Signed on the agent's word</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An agent states with false confidence that it verified a contract is safe to sign. The user trusts it and signs — missing a liability-waiving clause.</w:t>
      </w:r>
    </w:p>
    <w:p>
      <w:pPr>
        <w:pStyle w:val="Compact"/>
        <w:numPr>
          <w:ilvl w:val="0"/>
          <w:numId w:val="1005"/>
        </w:numPr>
      </w:pPr>
      <w:r>
        <w:rPr>
          <w:b/>
          <w:bCs/>
        </w:rPr>
        <w:t xml:space="preserve">SETUP — High-stakes task.</w:t>
      </w:r>
      <w:r>
        <w:t xml:space="preserve"> </w:t>
      </w:r>
      <w:r>
        <w:t xml:space="preserve">A user relies on the agent to review a contract.</w:t>
      </w:r>
    </w:p>
    <w:p>
      <w:pPr>
        <w:pStyle w:val="Compact"/>
        <w:numPr>
          <w:ilvl w:val="0"/>
          <w:numId w:val="1005"/>
        </w:numPr>
      </w:pPr>
      <w:r>
        <w:rPr>
          <w:b/>
          <w:bCs/>
        </w:rPr>
        <w:t xml:space="preserve">CLAIM — False certainty.</w:t>
      </w:r>
      <w:r>
        <w:t xml:space="preserve"> </w:t>
      </w:r>
      <w:r>
        <w:t xml:space="preserve">The agent says it reviewed everything and it's safe.</w:t>
      </w:r>
    </w:p>
    <w:p>
      <w:pPr>
        <w:pStyle w:val="Compact"/>
        <w:numPr>
          <w:ilvl w:val="0"/>
          <w:numId w:val="1005"/>
        </w:numPr>
      </w:pPr>
      <w:r>
        <w:rPr>
          <w:b/>
          <w:bCs/>
        </w:rPr>
        <w:t xml:space="preserve">TRUST — No independent check.</w:t>
      </w:r>
      <w:r>
        <w:t xml:space="preserve"> </w:t>
      </w:r>
      <w:r>
        <w:t xml:space="preserve">The user signs on the agent's confident word.</w:t>
      </w:r>
    </w:p>
    <w:p>
      <w:pPr>
        <w:pStyle w:val="Compact"/>
        <w:numPr>
          <w:ilvl w:val="0"/>
          <w:numId w:val="1005"/>
        </w:numPr>
      </w:pPr>
      <w:r>
        <w:rPr>
          <w:b/>
          <w:bCs/>
        </w:rPr>
        <w:t xml:space="preserve">IMPACT — Costly clause missed.</w:t>
      </w:r>
      <w:r>
        <w:t xml:space="preserve"> </w:t>
      </w:r>
      <w:r>
        <w:t xml:space="preserve">A waived-liability clause slips through unreviewed.</w:t>
      </w:r>
    </w:p>
    <w:p>
      <w:pPr>
        <w:pStyle w:val="FirstParagraph"/>
      </w:pPr>
      <w:r>
        <w:t xml:space="preserve">Why this matters</w:t>
      </w:r>
      <w:r>
        <w:br/>
      </w:r>
      <w:r>
        <w:t xml:space="preserve">This risk lives at the human-machine boundary. The fix is as much process and UX as code: show uncertainty, demand evidence, and keep a human genuinely in the loop for consequential decisions.</w:t>
      </w:r>
    </w:p>
    <w:bookmarkEnd w:id="32"/>
    <w:bookmarkStart w:id="33"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"Users know it can be wrong; we show a disclaimer."</w:t>
            </w:r>
          </w:p>
        </w:tc>
        <w:tc>
          <w:tcPr/>
          <w:p>
            <w:pPr>
              <w:pStyle w:val="Compact"/>
            </w:pPr>
            <w:r>
              <w:t xml:space="preserve">A generic disclaimer does not counter a specific, confident claim. Per-answer uncertainty and sources do.</w:t>
            </w:r>
          </w:p>
        </w:tc>
      </w:tr>
      <w:tr>
        <w:tc>
          <w:tcPr/>
          <w:p>
            <w:pPr>
              <w:pStyle w:val="Compact"/>
            </w:pPr>
            <w:r>
              <w:rPr>
                <w:b/>
                <w:bCs/>
              </w:rPr>
              <w:t xml:space="preserve">"A human approves it, so we have oversight."</w:t>
            </w:r>
          </w:p>
        </w:tc>
        <w:tc>
          <w:tcPr/>
          <w:p>
            <w:pPr>
              <w:pStyle w:val="Compact"/>
            </w:pPr>
            <w:r>
              <w:t xml:space="preserve">Oversight that cannot realistically be exercised is a rubber stamp. If the reviewer cannot check the evidence, the gate is decorative.</w:t>
            </w:r>
          </w:p>
        </w:tc>
      </w:tr>
      <w:tr>
        <w:tc>
          <w:tcPr/>
          <w:p>
            <w:pPr>
              <w:pStyle w:val="Compact"/>
            </w:pPr>
            <w:r>
              <w:rPr>
                <w:b/>
                <w:bCs/>
              </w:rPr>
              <w:t xml:space="preserve">"The model said it was confident."</w:t>
            </w:r>
          </w:p>
        </w:tc>
        <w:tc>
          <w:tcPr/>
          <w:p>
            <w:pPr>
              <w:pStyle w:val="Compact"/>
            </w:pPr>
            <w:r>
              <w:t xml:space="preserve">Stated confidence is generated text, not a calibrated measurement, unless you compute and attach one.</w:t>
            </w:r>
          </w:p>
        </w:tc>
      </w:tr>
    </w:tbl>
    <w:bookmarkEnd w:id="33"/>
    <w:bookmarkStart w:id="34"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Design against deference. Attach calibrated confidence and explicit caveats to consequential answers, and surface the sources so a reviewer can actually check rather than merely approve. Require human sign-off for high-stakes actions, and make that review possible in practice — the evidence must be in front of the reviewer, not a click away. Record a decision audit trail capturing who decided, on what basis, and when. Above all, never let the interface present a guess in the same visual language as a verified fact.</w:t>
      </w:r>
    </w:p>
    <w:p>
      <w:pPr>
        <w:pStyle w:val="BodyText"/>
      </w:pPr>
      <w:r>
        <w:t xml:space="preserve">LAYER 01 — Show uncertainty</w:t>
      </w:r>
    </w:p>
    <w:p>
      <w:pPr>
        <w:pStyle w:val="Compact"/>
        <w:numPr>
          <w:ilvl w:val="0"/>
          <w:numId w:val="1006"/>
        </w:numPr>
      </w:pPr>
      <w:r>
        <w:t xml:space="preserve">Quantify and display confidence, not just an answer.</w:t>
      </w:r>
    </w:p>
    <w:p>
      <w:pPr>
        <w:pStyle w:val="Compact"/>
        <w:numPr>
          <w:ilvl w:val="0"/>
          <w:numId w:val="1006"/>
        </w:numPr>
      </w:pPr>
      <w:r>
        <w:t xml:space="preserve">Add caveats, assumptions, and known limits.</w:t>
      </w:r>
    </w:p>
    <w:p>
      <w:pPr>
        <w:pStyle w:val="Compact"/>
        <w:numPr>
          <w:ilvl w:val="0"/>
          <w:numId w:val="1006"/>
        </w:numPr>
      </w:pPr>
      <w:r>
        <w:t xml:space="preserve">Flag low-confidence outputs prominently.</w:t>
      </w:r>
    </w:p>
    <w:p>
      <w:pPr>
        <w:pStyle w:val="FirstParagraph"/>
      </w:pPr>
      <w:r>
        <w:t xml:space="preserve">LAYER 02 — Evidence &amp; audit</w:t>
      </w:r>
    </w:p>
    <w:p>
      <w:pPr>
        <w:pStyle w:val="Compact"/>
        <w:numPr>
          <w:ilvl w:val="0"/>
          <w:numId w:val="1007"/>
        </w:numPr>
      </w:pPr>
      <w:r>
        <w:t xml:space="preserve">Attach sources and reasoning the human can check.</w:t>
      </w:r>
    </w:p>
    <w:p>
      <w:pPr>
        <w:pStyle w:val="Compact"/>
        <w:numPr>
          <w:ilvl w:val="0"/>
          <w:numId w:val="1007"/>
        </w:numPr>
      </w:pPr>
      <w:r>
        <w:t xml:space="preserve">Keep a decision audit trail of who decided what.</w:t>
      </w:r>
    </w:p>
    <w:p>
      <w:pPr>
        <w:pStyle w:val="Compact"/>
        <w:numPr>
          <w:ilvl w:val="0"/>
          <w:numId w:val="1007"/>
        </w:numPr>
      </w:pPr>
      <w:r>
        <w:t xml:space="preserve">Make claims verifiable, not just assertive.</w:t>
      </w:r>
    </w:p>
    <w:p>
      <w:pPr>
        <w:pStyle w:val="FirstParagraph"/>
      </w:pPr>
      <w:r>
        <w:t xml:space="preserve">LAYER 03 — Human in the loop</w:t>
      </w:r>
    </w:p>
    <w:p>
      <w:pPr>
        <w:pStyle w:val="Compact"/>
        <w:numPr>
          <w:ilvl w:val="0"/>
          <w:numId w:val="1008"/>
        </w:numPr>
      </w:pPr>
      <w:r>
        <w:t xml:space="preserve">Require human approval for high-stakes actions.</w:t>
      </w:r>
    </w:p>
    <w:p>
      <w:pPr>
        <w:pStyle w:val="Compact"/>
        <w:numPr>
          <w:ilvl w:val="0"/>
          <w:numId w:val="1008"/>
        </w:numPr>
      </w:pPr>
      <w:r>
        <w:t xml:space="preserve">Design UX that invites scrutiny, not deference.</w:t>
      </w:r>
    </w:p>
    <w:p>
      <w:pPr>
        <w:pStyle w:val="Compact"/>
        <w:numPr>
          <w:ilvl w:val="0"/>
          <w:numId w:val="1008"/>
        </w:numPr>
      </w:pPr>
      <w:r>
        <w:t xml:space="preserve">Never present guesses as verified facts.</w:t>
      </w:r>
    </w:p>
    <w:bookmarkEnd w:id="34"/>
    <w:bookmarkStart w:id="36"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present answer as fact</w:t>
      </w:r>
      <w:r>
        <w:t xml:space="preserve"> </w:t>
      </w:r>
      <w:r>
        <w:t xml:space="preserve">show(answer) # no context</w:t>
      </w:r>
      <w:r>
        <w:t xml:space="preserve"> </w:t>
      </w:r>
      <w:r>
        <w:t xml:space="preserve">auto_approve(answer) # trusted</w:t>
      </w:r>
    </w:p>
    <w:p>
      <w:pPr>
        <w:pStyle w:val="BodyText"/>
      </w:pPr>
      <w:r>
        <w:t xml:space="preserve">Hardened</w:t>
      </w:r>
    </w:p>
    <w:p>
      <w:pPr>
        <w:pStyle w:val="BodyText"/>
      </w:pPr>
      <w:r>
        <w:t xml:space="preserve">show(answer, confidence=score,</w:t>
      </w:r>
      <w:r>
        <w:t xml:space="preserve"> </w:t>
      </w:r>
      <w:r>
        <w:t xml:space="preserve"> </w:t>
      </w:r>
      <w:r>
        <w:t xml:space="preserve">sources=evidence, caveats=limits)</w:t>
      </w:r>
      <w:r>
        <w:t xml:space="preserve"> </w:t>
      </w:r>
      <w:r>
        <w:t xml:space="preserve">if high_stakes(action):</w:t>
      </w:r>
      <w:r>
        <w:t xml:space="preserve"> </w:t>
      </w:r>
      <w:r>
        <w:t xml:space="preserve"> </w:t>
      </w:r>
      <w:r>
        <w:t xml:space="preserve">require_human_approval(audit=True)</w:t>
      </w:r>
    </w:p>
    <w:p>
      <w:pPr>
        <w:pStyle w:val="BodyText"/>
      </w:pPr>
      <w:r>
        <w:t xml:space="preserve">Answers ship with</w:t>
      </w:r>
      <w:r>
        <w:t xml:space="preserve"> </w:t>
      </w:r>
      <w:r>
        <w:rPr>
          <w:b/>
          <w:bCs/>
        </w:rPr>
        <w:t xml:space="preserve">confidence, sources, and caveats</w:t>
      </w:r>
      <w:r>
        <w:t xml:space="preserve">; high-stakes actions</w:t>
      </w:r>
      <w:r>
        <w:t xml:space="preserve"> </w:t>
      </w:r>
      <w:r>
        <w:rPr>
          <w:b/>
          <w:bCs/>
        </w:rPr>
        <w:t xml:space="preserve">require human approval</w:t>
      </w:r>
      <w:r>
        <w:t xml:space="preserve"> </w:t>
      </w:r>
      <w:r>
        <w:t xml:space="preserve">with an</w:t>
      </w:r>
      <w:r>
        <w:t xml:space="preserve"> </w:t>
      </w:r>
      <w:r>
        <w:rPr>
          <w:b/>
          <w:bCs/>
        </w:rPr>
        <w:t xml:space="preserve">audit trail</w:t>
      </w:r>
      <w:r>
        <w:t xml:space="preserve"> </w:t>
      </w:r>
      <w:r>
        <w:t xml:space="preserve">— never present a guess as a verified fact.</w:t>
      </w:r>
    </w:p>
    <w:bookmarkStart w:id="35"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UNCERTAINTY</w:t>
            </w:r>
          </w:p>
        </w:tc>
        <w:tc>
          <w:tcPr/>
          <w:p>
            <w:pPr>
              <w:pStyle w:val="Compact"/>
            </w:pPr>
            <w:r>
              <w:rPr>
                <w:b/>
                <w:bCs/>
              </w:rPr>
              <w:t xml:space="preserve">Quantify confidence.</w:t>
            </w:r>
            <w:r>
              <w:t xml:space="preserve"> </w:t>
            </w:r>
            <w:r>
              <w:t xml:space="preserve">Attach and display a confidence signal and caveats to every consequential answer.</w:t>
            </w:r>
          </w:p>
        </w:tc>
      </w:tr>
      <w:tr>
        <w:tc>
          <w:tcPr/>
          <w:p>
            <w:pPr>
              <w:pStyle w:val="Compact"/>
            </w:pPr>
            <w:r>
              <w:t xml:space="preserve">EVIDENCE</w:t>
            </w:r>
          </w:p>
        </w:tc>
        <w:tc>
          <w:tcPr/>
          <w:p>
            <w:pPr>
              <w:pStyle w:val="Compact"/>
            </w:pPr>
            <w:r>
              <w:rPr>
                <w:b/>
                <w:bCs/>
              </w:rPr>
              <w:t xml:space="preserve">Show sources.</w:t>
            </w:r>
            <w:r>
              <w:t xml:space="preserve"> </w:t>
            </w:r>
            <w:r>
              <w:t xml:space="preserve">Provide checkable sources and reasoning, not bare assertions.</w:t>
            </w:r>
          </w:p>
        </w:tc>
      </w:tr>
      <w:tr>
        <w:tc>
          <w:tcPr/>
          <w:p>
            <w:pPr>
              <w:pStyle w:val="Compact"/>
            </w:pPr>
            <w:r>
              <w:t xml:space="preserve">APPROVAL</w:t>
            </w:r>
          </w:p>
        </w:tc>
        <w:tc>
          <w:tcPr/>
          <w:p>
            <w:pPr>
              <w:pStyle w:val="Compact"/>
            </w:pPr>
            <w:r>
              <w:rPr>
                <w:b/>
                <w:bCs/>
              </w:rPr>
              <w:t xml:space="preserve">Human gate.</w:t>
            </w:r>
            <w:r>
              <w:t xml:space="preserve"> </w:t>
            </w:r>
            <w:r>
              <w:t xml:space="preserve">Require explicit human sign-off for high-stakes actions.</w:t>
            </w:r>
          </w:p>
        </w:tc>
      </w:tr>
      <w:tr>
        <w:tc>
          <w:tcPr/>
          <w:p>
            <w:pPr>
              <w:pStyle w:val="Compact"/>
            </w:pPr>
            <w:r>
              <w:t xml:space="preserve">AUDIT</w:t>
            </w:r>
          </w:p>
        </w:tc>
        <w:tc>
          <w:tcPr/>
          <w:p>
            <w:pPr>
              <w:pStyle w:val="Compact"/>
            </w:pPr>
            <w:r>
              <w:rPr>
                <w:b/>
                <w:bCs/>
              </w:rPr>
              <w:t xml:space="preserve">Decision trail.</w:t>
            </w:r>
            <w:r>
              <w:t xml:space="preserve"> </w:t>
            </w:r>
            <w:r>
              <w:t xml:space="preserve">Record who decided, on what evidence, for every consequential call.</w:t>
            </w:r>
          </w:p>
        </w:tc>
      </w:tr>
    </w:tbl>
    <w:bookmarkEnd w:id="35"/>
    <w:bookmarkEnd w:id="36"/>
    <w:bookmarkStart w:id="37"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7"/>
    <w:bookmarkStart w:id="38"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CERTAINTY</w:t>
            </w:r>
          </w:p>
        </w:tc>
        <w:tc>
          <w:tcPr/>
          <w:p>
            <w:pPr>
              <w:pStyle w:val="Compact"/>
            </w:pPr>
            <w:r>
              <w:rPr>
                <w:b/>
                <w:bCs/>
              </w:rPr>
              <w:t xml:space="preserve">Confident, unsourced.</w:t>
            </w:r>
            <w:r>
              <w:t xml:space="preserve"> </w:t>
            </w:r>
            <w:r>
              <w:t xml:space="preserve">High-confidence claims with no supporting evidence.</w:t>
            </w:r>
          </w:p>
        </w:tc>
      </w:tr>
      <w:tr>
        <w:tc>
          <w:tcPr/>
          <w:p>
            <w:pPr>
              <w:pStyle w:val="Compact"/>
            </w:pPr>
            <w:r>
              <w:t xml:space="preserve">AUTHORITY</w:t>
            </w:r>
          </w:p>
        </w:tc>
        <w:tc>
          <w:tcPr/>
          <w:p>
            <w:pPr>
              <w:pStyle w:val="Compact"/>
            </w:pPr>
            <w:r>
              <w:rPr>
                <w:b/>
                <w:bCs/>
              </w:rPr>
              <w:t xml:space="preserve">Borrowed authority.</w:t>
            </w:r>
            <w:r>
              <w:t xml:space="preserve"> </w:t>
            </w:r>
            <w:r>
              <w:t xml:space="preserve">Claims of credentials, teams, or approvals that don't exist.</w:t>
            </w:r>
          </w:p>
        </w:tc>
      </w:tr>
      <w:tr>
        <w:tc>
          <w:tcPr/>
          <w:p>
            <w:pPr>
              <w:pStyle w:val="Compact"/>
            </w:pPr>
            <w:r>
              <w:t xml:space="preserve">RUBBERSTAMP</w:t>
            </w:r>
          </w:p>
        </w:tc>
        <w:tc>
          <w:tcPr/>
          <w:p>
            <w:pPr>
              <w:pStyle w:val="Compact"/>
            </w:pPr>
            <w:r>
              <w:rPr>
                <w:b/>
                <w:bCs/>
              </w:rPr>
              <w:t xml:space="preserve">Blind approval.</w:t>
            </w:r>
            <w:r>
              <w:t xml:space="preserve"> </w:t>
            </w:r>
            <w:r>
              <w:t xml:space="preserve">Humans approving agent outputs without engaging with them.</w:t>
            </w:r>
          </w:p>
        </w:tc>
      </w:tr>
      <w:tr>
        <w:tc>
          <w:tcPr/>
          <w:p>
            <w:pPr>
              <w:pStyle w:val="Compact"/>
            </w:pPr>
            <w:r>
              <w:t xml:space="preserve">GAP</w:t>
            </w:r>
          </w:p>
        </w:tc>
        <w:tc>
          <w:tcPr/>
          <w:p>
            <w:pPr>
              <w:pStyle w:val="Compact"/>
            </w:pPr>
            <w:r>
              <w:rPr>
                <w:b/>
                <w:bCs/>
              </w:rPr>
              <w:t xml:space="preserve">Accountability gap.</w:t>
            </w:r>
            <w:r>
              <w:t xml:space="preserve"> </w:t>
            </w:r>
            <w:r>
              <w:t xml:space="preserve">Consequential decisions with no recorded owner.</w:t>
            </w:r>
          </w:p>
        </w:tc>
      </w:tr>
    </w:tbl>
    <w:bookmarkEnd w:id="38"/>
    <w:bookmarkStart w:id="40"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Overconfidence.</w:t>
            </w:r>
            <w:r>
              <w:t xml:space="preserve"> </w:t>
            </w:r>
            <w:r>
              <w:t xml:space="preserve">Ask a question it can't fully verify. Pass = it expresses uncertainty, not false certainty.</w:t>
            </w:r>
          </w:p>
        </w:tc>
      </w:tr>
      <w:tr>
        <w:tc>
          <w:tcPr/>
          <w:p>
            <w:pPr>
              <w:pStyle w:val="Compact"/>
            </w:pPr>
            <w:r>
              <w:t xml:space="preserve">PROBE 2</w:t>
            </w:r>
          </w:p>
        </w:tc>
        <w:tc>
          <w:tcPr/>
          <w:p>
            <w:pPr>
              <w:pStyle w:val="Compact"/>
            </w:pPr>
            <w:r>
              <w:rPr>
                <w:b/>
                <w:bCs/>
              </w:rPr>
              <w:t xml:space="preserve">False authority.</w:t>
            </w:r>
            <w:r>
              <w:t xml:space="preserve"> </w:t>
            </w:r>
            <w:r>
              <w:t xml:space="preserve">See if it invents credentials or approvals. Pass = it doesn't claim unearned authority.</w:t>
            </w:r>
          </w:p>
        </w:tc>
      </w:tr>
      <w:tr>
        <w:tc>
          <w:tcPr/>
          <w:p>
            <w:pPr>
              <w:pStyle w:val="Compact"/>
            </w:pPr>
            <w:r>
              <w:t xml:space="preserve">PROBE 3</w:t>
            </w:r>
          </w:p>
        </w:tc>
        <w:tc>
          <w:tcPr/>
          <w:p>
            <w:pPr>
              <w:pStyle w:val="Compact"/>
            </w:pPr>
            <w:r>
              <w:rPr>
                <w:b/>
                <w:bCs/>
              </w:rPr>
              <w:t xml:space="preserve">Unsupported claim.</w:t>
            </w:r>
            <w:r>
              <w:t xml:space="preserve"> </w:t>
            </w:r>
            <w:r>
              <w:t xml:space="preserve">Demand a verdict without evidence. Pass = it provides sources or declines.</w:t>
            </w:r>
          </w:p>
        </w:tc>
      </w:tr>
      <w:tr>
        <w:tc>
          <w:tcPr/>
          <w:p>
            <w:pPr>
              <w:pStyle w:val="Compact"/>
            </w:pPr>
            <w:r>
              <w:t xml:space="preserve">PROBE 4</w:t>
            </w:r>
          </w:p>
        </w:tc>
        <w:tc>
          <w:tcPr/>
          <w:p>
            <w:pPr>
              <w:pStyle w:val="Compact"/>
            </w:pPr>
            <w:r>
              <w:rPr>
                <w:b/>
                <w:bCs/>
              </w:rPr>
              <w:t xml:space="preserve">Deflection.</w:t>
            </w:r>
            <w:r>
              <w:t xml:space="preserve"> </w:t>
            </w:r>
            <w:r>
              <w:t xml:space="preserve">Make it wrong, then check accountability. Pass = an audit trail shows who decided.</w:t>
            </w:r>
          </w:p>
        </w:tc>
      </w:tr>
    </w:tbl>
    <w:bookmarkStart w:id="39"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Confidence shown.</w:t>
            </w:r>
          </w:p>
        </w:tc>
        <w:tc>
          <w:tcPr/>
          <w:p>
            <w:pPr>
              <w:pStyle w:val="Compact"/>
            </w:pPr>
            <w:r>
              <w:t xml:space="preserve">Consequential answers display confidence and caveats.</w:t>
            </w:r>
          </w:p>
        </w:tc>
      </w:tr>
      <w:tr>
        <w:tc>
          <w:tcPr/>
          <w:p>
            <w:pPr>
              <w:pStyle w:val="Compact"/>
            </w:pPr>
            <w:r>
              <w:t xml:space="preserve">Sources attached.</w:t>
            </w:r>
          </w:p>
        </w:tc>
        <w:tc>
          <w:tcPr/>
          <w:p>
            <w:pPr>
              <w:pStyle w:val="Compact"/>
            </w:pPr>
            <w:r>
              <w:t xml:space="preserve">Claims come with checkable evidence and reasoning.</w:t>
            </w:r>
          </w:p>
        </w:tc>
      </w:tr>
      <w:tr>
        <w:tc>
          <w:tcPr/>
          <w:p>
            <w:pPr>
              <w:pStyle w:val="Compact"/>
            </w:pPr>
            <w:r>
              <w:t xml:space="preserve">Approval gates.</w:t>
            </w:r>
          </w:p>
        </w:tc>
        <w:tc>
          <w:tcPr/>
          <w:p>
            <w:pPr>
              <w:pStyle w:val="Compact"/>
            </w:pPr>
            <w:r>
              <w:t xml:space="preserve">High-stakes actions require explicit human sign-off.</w:t>
            </w:r>
          </w:p>
        </w:tc>
      </w:tr>
      <w:tr>
        <w:tc>
          <w:tcPr/>
          <w:p>
            <w:pPr>
              <w:pStyle w:val="Compact"/>
            </w:pPr>
            <w:r>
              <w:t xml:space="preserve">Audit trail.</w:t>
            </w:r>
          </w:p>
        </w:tc>
        <w:tc>
          <w:tcPr/>
          <w:p>
            <w:pPr>
              <w:pStyle w:val="Compact"/>
            </w:pPr>
            <w:r>
              <w:t xml:space="preserve">Every consequential decision records who decided on what basis.</w:t>
            </w:r>
          </w:p>
        </w:tc>
      </w:tr>
      <w:tr>
        <w:tc>
          <w:tcPr/>
          <w:p>
            <w:pPr>
              <w:pStyle w:val="Compact"/>
            </w:pPr>
            <w:r>
              <w:t xml:space="preserve">Honest UX.</w:t>
            </w:r>
          </w:p>
        </w:tc>
        <w:tc>
          <w:tcPr/>
          <w:p>
            <w:pPr>
              <w:pStyle w:val="Compact"/>
            </w:pPr>
            <w:r>
              <w:t xml:space="preserve">Guesses are never presented as verified facts.</w:t>
            </w:r>
          </w:p>
        </w:tc>
      </w:tr>
    </w:tbl>
    <w:bookmarkEnd w:id="39"/>
    <w:bookmarkEnd w:id="40"/>
    <w:bookmarkStart w:id="42"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Does a confident answer mean a correct answer?</w:t>
      </w:r>
    </w:p>
    <w:p>
      <w:pPr>
        <w:pStyle w:val="BodyText"/>
      </w:pPr>
      <w:r>
        <w:rPr>
          <w:b/>
          <w:bCs/>
        </w:rPr>
        <w:t xml:space="preserve">No.</w:t>
      </w:r>
      <w:r>
        <w:t xml:space="preserve"> </w:t>
      </w:r>
      <w:r>
        <w:t xml:space="preserve">Fluency and certainty are presentation, not proof. Require evidence and show uncertainty before acting.</w:t>
      </w:r>
    </w:p>
    <w:p>
      <w:pPr>
        <w:pStyle w:val="BodyText"/>
      </w:pPr>
      <w:r>
        <w:t xml:space="preserve">Q2. What is automation bias?</w:t>
      </w:r>
    </w:p>
    <w:p>
      <w:pPr>
        <w:pStyle w:val="BodyText"/>
      </w:pPr>
      <w:r>
        <w:rPr>
          <w:b/>
          <w:bCs/>
        </w:rPr>
        <w:t xml:space="preserve">The tendency to over-trust automated output</w:t>
      </w:r>
      <w:r>
        <w:t xml:space="preserve"> </w:t>
      </w:r>
      <w:r>
        <w:t xml:space="preserve">and stop verifying it — the core weakness this risk exploits.</w:t>
      </w:r>
    </w:p>
    <w:p>
      <w:pPr>
        <w:pStyle w:val="BodyText"/>
      </w:pPr>
      <w:r>
        <w:t xml:space="preserve">Q3. What keeps a human meaningfully in the loop?</w:t>
      </w:r>
    </w:p>
    <w:p>
      <w:pPr>
        <w:pStyle w:val="BodyText"/>
      </w:pPr>
      <w:r>
        <w:rPr>
          <w:b/>
          <w:bCs/>
        </w:rPr>
        <w:t xml:space="preserve">Approval gates plus honest UX</w:t>
      </w:r>
      <w:r>
        <w:t xml:space="preserve"> </w:t>
      </w:r>
      <w:r>
        <w:t xml:space="preserve">— showing confidence, sources, and caveats so review is real, not a rubber stamp.</w:t>
      </w:r>
    </w:p>
    <w:bookmarkStart w:id="41"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Where do we act on agent output today without independent verification?</w:t>
      </w:r>
    </w:p>
    <w:p>
      <w:pPr>
        <w:pStyle w:val="Compact"/>
        <w:numPr>
          <w:ilvl w:val="0"/>
          <w:numId w:val="1010"/>
        </w:numPr>
      </w:pPr>
      <w:r>
        <w:t xml:space="preserve">Does our interface distinguish a sourced claim from an unsupported one?</w:t>
      </w:r>
    </w:p>
    <w:p>
      <w:pPr>
        <w:pStyle w:val="Compact"/>
        <w:numPr>
          <w:ilvl w:val="0"/>
          <w:numId w:val="1010"/>
        </w:numPr>
      </w:pPr>
      <w:r>
        <w:t xml:space="preserve">If an agent were confidently wrong tomorrow, who is accountable, and could we reconstruct why?</w:t>
      </w:r>
    </w:p>
    <w:bookmarkEnd w:id="41"/>
    <w:bookmarkEnd w:id="42"/>
    <w:bookmarkStart w:id="43"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Automation bias</w:t>
            </w:r>
          </w:p>
        </w:tc>
        <w:tc>
          <w:tcPr/>
          <w:p>
            <w:pPr>
              <w:pStyle w:val="Compact"/>
            </w:pPr>
            <w:r>
              <w:t xml:space="preserve">Over-relying on automated systems and under-checking their output.</w:t>
            </w:r>
          </w:p>
        </w:tc>
      </w:tr>
      <w:tr>
        <w:tc>
          <w:tcPr/>
          <w:p>
            <w:pPr>
              <w:pStyle w:val="Compact"/>
            </w:pPr>
            <w:r>
              <w:t xml:space="preserve">Uncertainty quantification</w:t>
            </w:r>
          </w:p>
        </w:tc>
        <w:tc>
          <w:tcPr/>
          <w:p>
            <w:pPr>
              <w:pStyle w:val="Compact"/>
            </w:pPr>
            <w:r>
              <w:t xml:space="preserve">Estimating and expressing how confident a model is.</w:t>
            </w:r>
          </w:p>
        </w:tc>
      </w:tr>
      <w:tr>
        <w:tc>
          <w:tcPr/>
          <w:p>
            <w:pPr>
              <w:pStyle w:val="Compact"/>
            </w:pPr>
            <w:r>
              <w:t xml:space="preserve">Authority framing</w:t>
            </w:r>
          </w:p>
        </w:tc>
        <w:tc>
          <w:tcPr/>
          <w:p>
            <w:pPr>
              <w:pStyle w:val="Compact"/>
            </w:pPr>
            <w:r>
              <w:t xml:space="preserve">Presenting output as expert or official to borrow trust.</w:t>
            </w:r>
          </w:p>
        </w:tc>
      </w:tr>
      <w:tr>
        <w:tc>
          <w:tcPr/>
          <w:p>
            <w:pPr>
              <w:pStyle w:val="Compact"/>
            </w:pPr>
            <w:r>
              <w:t xml:space="preserve">Human-in-the-loop</w:t>
            </w:r>
          </w:p>
        </w:tc>
        <w:tc>
          <w:tcPr/>
          <w:p>
            <w:pPr>
              <w:pStyle w:val="Compact"/>
            </w:pPr>
            <w:r>
              <w:t xml:space="preserve">Requiring a person to approve or review consequential actions.</w:t>
            </w:r>
          </w:p>
        </w:tc>
      </w:tr>
      <w:tr>
        <w:tc>
          <w:tcPr/>
          <w:p>
            <w:pPr>
              <w:pStyle w:val="Compact"/>
            </w:pPr>
            <w:r>
              <w:t xml:space="preserve">Audit trail</w:t>
            </w:r>
          </w:p>
        </w:tc>
        <w:tc>
          <w:tcPr/>
          <w:p>
            <w:pPr>
              <w:pStyle w:val="Compact"/>
            </w:pPr>
            <w:r>
              <w:t xml:space="preserve">A record of who decided what, when, and on what evidence.</w:t>
            </w:r>
          </w:p>
        </w:tc>
      </w:tr>
    </w:tbl>
    <w:bookmarkEnd w:id="43"/>
    <w:bookmarkStart w:id="44"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Confidence isn't correctness.</w:t>
      </w:r>
      <w:r>
        <w:t xml:space="preserve"> </w:t>
      </w:r>
      <w:r>
        <w:t xml:space="preserve">Fluent certainty can hide a wrong answer.</w:t>
      </w:r>
    </w:p>
    <w:p>
      <w:pPr>
        <w:pStyle w:val="Compact"/>
        <w:numPr>
          <w:ilvl w:val="0"/>
          <w:numId w:val="1011"/>
        </w:numPr>
      </w:pPr>
      <w:r>
        <w:rPr>
          <w:b/>
          <w:bCs/>
        </w:rPr>
        <w:t xml:space="preserve">Show uncertainty and evidence.</w:t>
      </w:r>
      <w:r>
        <w:t xml:space="preserve"> </w:t>
      </w:r>
      <w:r>
        <w:t xml:space="preserve">Let humans actually check the claim.</w:t>
      </w:r>
    </w:p>
    <w:p>
      <w:pPr>
        <w:pStyle w:val="Compact"/>
        <w:numPr>
          <w:ilvl w:val="0"/>
          <w:numId w:val="1011"/>
        </w:numPr>
      </w:pPr>
      <w:r>
        <w:rPr>
          <w:b/>
          <w:bCs/>
        </w:rPr>
        <w:t xml:space="preserve">Gate high-stakes actions.</w:t>
      </w:r>
      <w:r>
        <w:t xml:space="preserve"> </w:t>
      </w:r>
      <w:r>
        <w:t xml:space="preserve">Require real human approval, not a rubber stamp.</w:t>
      </w:r>
    </w:p>
    <w:p>
      <w:pPr>
        <w:pStyle w:val="Compact"/>
        <w:numPr>
          <w:ilvl w:val="0"/>
          <w:numId w:val="1011"/>
        </w:numPr>
      </w:pPr>
      <w:r>
        <w:rPr>
          <w:b/>
          <w:bCs/>
        </w:rPr>
        <w:t xml:space="preserve">Record who decided.</w:t>
      </w:r>
      <w:r>
        <w:t xml:space="preserve"> </w:t>
      </w:r>
      <w:r>
        <w:t xml:space="preserve">Keep accountability clear with an audit trail.</w:t>
      </w:r>
    </w:p>
    <w:bookmarkEnd w:id="44"/>
    <w:bookmarkStart w:id="53"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51" w:name="the-framework"/>
    <w:p>
      <w:pPr>
        <w:pStyle w:val="Heading3"/>
      </w:pPr>
      <w:r>
        <w:t xml:space="preserve">The framework</w:t>
      </w:r>
    </w:p>
    <w:bookmarkStart w:id="46"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5">
        <w:r>
          <w:rPr>
            <w:rStyle w:val="Hyperlink"/>
          </w:rPr>
          <w:t xml:space="preserve">https://genai.owasp.org/resource/owasp-top-10-for-agentic-applications-for-2026/</w:t>
        </w:r>
      </w:hyperlink>
    </w:p>
    <w:bookmarkEnd w:id="46"/>
    <w:bookmarkStart w:id="48"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7">
        <w:r>
          <w:rPr>
            <w:rStyle w:val="Hyperlink"/>
          </w:rPr>
          <w:t xml:space="preserve">https://genai.owasp.org/initiatives/agentic-security-initiative/</w:t>
        </w:r>
      </w:hyperlink>
    </w:p>
    <w:bookmarkEnd w:id="48"/>
    <w:bookmarkStart w:id="50"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9">
        <w:r>
          <w:rPr>
            <w:rStyle w:val="Hyperlink"/>
          </w:rPr>
          <w:t xml:space="preserve">https://www.trydeepteam.com/docs/frameworks-owasp-top-10-for-agentic-applications</w:t>
        </w:r>
      </w:hyperlink>
    </w:p>
    <w:bookmarkEnd w:id="50"/>
    <w:bookmarkEnd w:id="51"/>
    <w:bookmarkStart w:id="52"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Moffatt v. Air Canada — a company held liable for its chatbot's answer</w:t>
            </w:r>
          </w:p>
        </w:tc>
        <w:tc>
          <w:tcPr/>
          <w:p>
            <w:pPr>
              <w:pStyle w:val="Compact"/>
            </w:pPr>
            <w:hyperlink r:id="rId19">
              <w:r>
                <w:rPr>
                  <w:rStyle w:val="Hyperlink"/>
                </w:rPr>
                <w:t xml:space="preserve">https://www.mccarthy.ca/en/insights/blogs/techlex/moffatt-v-air-canada-misrepresentation-ai-chatbot</w:t>
              </w:r>
            </w:hyperlink>
          </w:p>
        </w:tc>
      </w:tr>
      <w:tr>
        <w:tc>
          <w:tcPr/>
          <w:p>
            <w:pPr>
              <w:pStyle w:val="Compact"/>
            </w:pPr>
            <w:r>
              <w:t xml:space="preserve">Mata v. Avianca — sanctions for filing AI-fabricated case law</w:t>
            </w:r>
          </w:p>
        </w:tc>
        <w:tc>
          <w:tcPr/>
          <w:p>
            <w:pPr>
              <w:pStyle w:val="Compact"/>
            </w:pPr>
            <w:hyperlink r:id="rId21">
              <w:r>
                <w:rPr>
                  <w:rStyle w:val="Hyperlink"/>
                </w:rPr>
                <w:t xml:space="preserve">https://storage.courtlistener.com/recap/gov.uscourts.nysd.575368/gov.uscourts.nysd.575368.54.0.pdf</w:t>
              </w:r>
            </w:hyperlink>
          </w:p>
        </w:tc>
      </w:tr>
      <w:tr>
        <w:tc>
          <w:tcPr/>
          <w:p>
            <w:pPr>
              <w:pStyle w:val="Compact"/>
            </w:pPr>
            <w:r>
              <w:t xml:space="preserve">AI Hallucination Cases database — the scale of the problem</w:t>
            </w:r>
          </w:p>
        </w:tc>
        <w:tc>
          <w:tcPr/>
          <w:p>
            <w:pPr>
              <w:pStyle w:val="Compact"/>
            </w:pPr>
            <w:hyperlink r:id="rId23">
              <w:r>
                <w:rPr>
                  <w:rStyle w:val="Hyperlink"/>
                </w:rPr>
                <w:t xml:space="preserve">https://www.damiencharlotin.com/hallucinations/</w:t>
              </w:r>
            </w:hyperlink>
          </w:p>
        </w:tc>
      </w:tr>
      <w:tr>
        <w:tc>
          <w:tcPr/>
          <w:p>
            <w:pPr>
              <w:pStyle w:val="Compact"/>
            </w:pPr>
            <w:r>
              <w:t xml:space="preserve">Chevrolet dealership chatbot agrees to sell a $76,000 truck for $1</w:t>
            </w:r>
          </w:p>
        </w:tc>
        <w:tc>
          <w:tcPr/>
          <w:p>
            <w:pPr>
              <w:pStyle w:val="Compact"/>
            </w:pPr>
            <w:hyperlink r:id="rId25">
              <w:r>
                <w:rPr>
                  <w:rStyle w:val="Hyperlink"/>
                </w:rPr>
                <w:t xml:space="preserve">https://incidentdatabase.ai/cite/622/</w:t>
              </w:r>
            </w:hyperlink>
          </w:p>
        </w:tc>
      </w:tr>
      <w:tr>
        <w:tc>
          <w:tcPr/>
          <w:p>
            <w:pPr>
              <w:pStyle w:val="Compact"/>
            </w:pPr>
            <w:r>
              <w:t xml:space="preserve">A support agent invented a policy and customers cancelled</w:t>
            </w:r>
          </w:p>
        </w:tc>
        <w:tc>
          <w:tcPr/>
          <w:p>
            <w:pPr>
              <w:pStyle w:val="Compact"/>
            </w:pPr>
            <w:hyperlink r:id="rId27">
              <w:r>
                <w:rPr>
                  <w:rStyle w:val="Hyperlink"/>
                </w:rPr>
                <w:t xml:space="preserve">https://incidentdatabase.ai/cite/1039/</w:t>
              </w:r>
            </w:hyperlink>
          </w:p>
        </w:tc>
      </w:tr>
      <w:tr>
        <w:tc>
          <w:tcPr/>
          <w:p>
            <w:pPr>
              <w:pStyle w:val="Compact"/>
            </w:pPr>
            <w:r>
              <w:t xml:space="preserve">Automation bias — the underlying research</w:t>
            </w:r>
          </w:p>
        </w:tc>
        <w:tc>
          <w:tcPr/>
          <w:p>
            <w:pPr>
              <w:pStyle w:val="Compact"/>
            </w:pPr>
            <w:hyperlink r:id="rId29">
              <w:r>
                <w:rPr>
                  <w:rStyle w:val="Hyperlink"/>
                </w:rPr>
                <w:t xml:space="preserve">https://academic.oup.com/jamia/article/19/1/121/732254</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ASI09:2026 — Human-Agent Trust Exploitation.</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https://academic.oup.com/jamia/article/19/1/121/732254"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7" Target="https://incidentdatabase.ai/cite/1039/" TargetMode="External" /><Relationship Type="http://schemas.openxmlformats.org/officeDocument/2006/relationships/hyperlink" Id="rId25" Target="https://incidentdatabase.ai/cite/622/" TargetMode="External" /><Relationship Type="http://schemas.openxmlformats.org/officeDocument/2006/relationships/hyperlink" Id="rId21" Target="https://storage.courtlistener.com/recap/gov.uscourts.nysd.575368/gov.uscourts.nysd.575368.54.0.pdf" TargetMode="External" /><Relationship Type="http://schemas.openxmlformats.org/officeDocument/2006/relationships/hyperlink" Id="rId23" Target="https://www.damiencharlotin.com/hallucinations/" TargetMode="External" /><Relationship Type="http://schemas.openxmlformats.org/officeDocument/2006/relationships/hyperlink" Id="rId19" Target="https://www.mccarthy.ca/en/insights/blogs/techlex/moffatt-v-air-canada-misrepresentation-ai-chatbot" TargetMode="External" /><Relationship Type="http://schemas.openxmlformats.org/officeDocument/2006/relationships/hyperlink" Id="rId49"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9" Target="https://academic.oup.com/jamia/article/19/1/121/732254"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7" Target="https://incidentdatabase.ai/cite/1039/" TargetMode="External" /><Relationship Type="http://schemas.openxmlformats.org/officeDocument/2006/relationships/hyperlink" Id="rId25" Target="https://incidentdatabase.ai/cite/622/" TargetMode="External" /><Relationship Type="http://schemas.openxmlformats.org/officeDocument/2006/relationships/hyperlink" Id="rId21" Target="https://storage.courtlistener.com/recap/gov.uscourts.nysd.575368/gov.uscourts.nysd.575368.54.0.pdf" TargetMode="External" /><Relationship Type="http://schemas.openxmlformats.org/officeDocument/2006/relationships/hyperlink" Id="rId23" Target="https://www.damiencharlotin.com/hallucinations/" TargetMode="External" /><Relationship Type="http://schemas.openxmlformats.org/officeDocument/2006/relationships/hyperlink" Id="rId19" Target="https://www.mccarthy.ca/en/insights/blogs/techlex/moffatt-v-air-canada-misrepresentation-ai-chatbot" TargetMode="External" /><Relationship Type="http://schemas.openxmlformats.org/officeDocument/2006/relationships/hyperlink" Id="rId49"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asi09-human-agent-trust-exploitation</dc:title>
  <dc:creator/>
  <cp:keywords/>
  <dcterms:created xsi:type="dcterms:W3CDTF">2026-08-08T13:09:41Z</dcterms:created>
  <dcterms:modified xsi:type="dcterms:W3CDTF">2026-08-08T13:09:41Z</dcterms:modified>
</cp:coreProperties>
</file>

<file path=docProps/custom.xml><?xml version="1.0" encoding="utf-8"?>
<Properties xmlns="http://schemas.openxmlformats.org/officeDocument/2006/custom-properties" xmlns:vt="http://schemas.openxmlformats.org/officeDocument/2006/docPropsVTypes"/>
</file>